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24CE6" w14:textId="2C5F4658" w:rsidR="00F20938" w:rsidRPr="005B7962" w:rsidRDefault="005B7962" w:rsidP="005B7962">
      <w:pPr>
        <w:pStyle w:val="Heading4"/>
        <w:rPr>
          <w:sz w:val="28"/>
        </w:rPr>
      </w:pPr>
      <w:r w:rsidRPr="005B7962">
        <w:rPr>
          <w:noProof/>
          <w:sz w:val="28"/>
        </w:rPr>
        <mc:AlternateContent>
          <mc:Choice Requires="wps">
            <w:drawing>
              <wp:anchor distT="0" distB="0" distL="114300" distR="114300" simplePos="0" relativeHeight="251659264" behindDoc="0" locked="0" layoutInCell="1" allowOverlap="1" wp14:anchorId="7653367B" wp14:editId="715E071D">
                <wp:simplePos x="0" y="0"/>
                <wp:positionH relativeFrom="column">
                  <wp:posOffset>7527290</wp:posOffset>
                </wp:positionH>
                <wp:positionV relativeFrom="paragraph">
                  <wp:posOffset>-187325</wp:posOffset>
                </wp:positionV>
                <wp:extent cx="1445895" cy="478155"/>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5B44A" w14:textId="77777777" w:rsidR="005B7962" w:rsidRDefault="005B7962" w:rsidP="005B7962">
                            <w:r>
                              <w:rPr>
                                <w:noProof/>
                                <w:lang w:eastAsia="en-GB"/>
                              </w:rPr>
                              <w:drawing>
                                <wp:inline distT="0" distB="0" distL="0" distR="0" wp14:anchorId="7EFF7456" wp14:editId="291F130F">
                                  <wp:extent cx="1266825" cy="390525"/>
                                  <wp:effectExtent l="0" t="0" r="9525" b="9525"/>
                                  <wp:docPr id="26" name="Picture 26" descr="Birmingham_Diocese_logo_lilac_blue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_Diocese_logo_lilac_blue 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53367B" id="_x0000_t202" coordsize="21600,21600" o:spt="202" path="m,l,21600r21600,l21600,xe">
                <v:stroke joinstyle="miter"/>
                <v:path gradientshapeok="t" o:connecttype="rect"/>
              </v:shapetype>
              <v:shape id="Text Box 2" o:spid="_x0000_s1026" type="#_x0000_t202" style="position:absolute;margin-left:592.7pt;margin-top:-14.75pt;width:113.85pt;height:37.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" stroked="f">
                <v:textbox style="mso-fit-shape-to-text:t">
                  <w:txbxContent>
                    <w:p w14:paraId="7645B44A" w14:textId="77777777" w:rsidR="005B7962" w:rsidRDefault="005B7962" w:rsidP="005B7962">
                      <w:r>
                        <w:rPr>
                          <w:noProof/>
                          <w:lang w:eastAsia="en-GB"/>
                        </w:rPr>
                        <w:drawing>
                          <wp:inline distT="0" distB="0" distL="0" distR="0" wp14:anchorId="7EFF7456" wp14:editId="291F130F">
                            <wp:extent cx="1266825" cy="390525"/>
                            <wp:effectExtent l="0" t="0" r="9525" b="9525"/>
                            <wp:docPr id="26" name="Picture 26" descr="Birmingham_Diocese_logo_lilac_blue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_Diocese_logo_lilac_blue transpar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txbxContent>
                </v:textbox>
              </v:shape>
            </w:pict>
          </mc:Fallback>
        </mc:AlternateContent>
      </w:r>
      <w:r w:rsidR="0057714F">
        <w:rPr>
          <w:sz w:val="28"/>
        </w:rPr>
        <w:t>EX</w:t>
      </w:r>
      <w:r w:rsidRPr="005B7962">
        <w:rPr>
          <w:sz w:val="28"/>
        </w:rPr>
        <w:t>AMPLE POLICY STATEMENT ON THE RECRUITMENT OF EX-OFFENDERS</w:t>
      </w:r>
      <w:r w:rsidR="00D51DB8">
        <w:rPr>
          <w:rStyle w:val="FootnoteReference"/>
          <w:sz w:val="28"/>
        </w:rPr>
        <w:footnoteReference w:id="1"/>
      </w:r>
    </w:p>
    <w:p w14:paraId="26B41261" w14:textId="77777777" w:rsidR="00C35ED0" w:rsidRDefault="00C35ED0" w:rsidP="00C35ED0">
      <w:pPr>
        <w:pStyle w:val="Heading3"/>
        <w:rPr>
          <w:lang w:val="en-US"/>
        </w:rPr>
      </w:pPr>
    </w:p>
    <w:p w14:paraId="4EBBE139" w14:textId="7EC6362F" w:rsidR="00C35ED0" w:rsidRPr="00D4443E" w:rsidRDefault="0057714F" w:rsidP="00C35ED0">
      <w:pPr>
        <w:pStyle w:val="Heading3"/>
        <w:rPr>
          <w:rFonts w:asciiTheme="minorHAnsi" w:hAnsiTheme="minorHAnsi" w:cstheme="minorHAnsi"/>
          <w:sz w:val="22"/>
          <w:szCs w:val="22"/>
          <w:lang w:val="en-US"/>
        </w:rPr>
      </w:pPr>
      <w:r w:rsidRPr="00D4443E">
        <w:rPr>
          <w:rFonts w:asciiTheme="minorHAnsi" w:hAnsiTheme="minorHAnsi" w:cstheme="minorHAnsi"/>
          <w:noProof/>
          <w:color w:val="000000" w:themeColor="text1"/>
          <w:sz w:val="22"/>
          <w:szCs w:val="22"/>
          <w:lang w:val="en-US"/>
        </w:rPr>
        <mc:AlternateContent>
          <mc:Choice Requires="wps">
            <w:drawing>
              <wp:anchor distT="0" distB="0" distL="114300" distR="114300" simplePos="0" relativeHeight="251661312" behindDoc="0" locked="0" layoutInCell="1" allowOverlap="1" wp14:anchorId="32AF9968" wp14:editId="704A142B">
                <wp:simplePos x="0" y="0"/>
                <wp:positionH relativeFrom="column">
                  <wp:posOffset>2101850</wp:posOffset>
                </wp:positionH>
                <wp:positionV relativeFrom="paragraph">
                  <wp:posOffset>184150</wp:posOffset>
                </wp:positionV>
                <wp:extent cx="3619500" cy="0"/>
                <wp:effectExtent l="0" t="0" r="0" b="0"/>
                <wp:wrapNone/>
                <wp:docPr id="1538457894" name="Straight Connector 1538457894"/>
                <wp:cNvGraphicFramePr/>
                <a:graphic xmlns:a="http://schemas.openxmlformats.org/drawingml/2006/main">
                  <a:graphicData uri="http://schemas.microsoft.com/office/word/2010/wordprocessingShape">
                    <wps:wsp>
                      <wps:cNvCnPr/>
                      <wps:spPr>
                        <a:xfrm>
                          <a:off x="0" y="0"/>
                          <a:ext cx="3619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504532" id="Straight Connector 153845789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14.5pt" to="4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FmQEAAIg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" strokecolor="black [3200]" strokeweight=".5pt">
                <v:stroke joinstyle="miter"/>
              </v:line>
            </w:pict>
          </mc:Fallback>
        </mc:AlternateContent>
      </w:r>
      <w:r w:rsidR="00C35ED0" w:rsidRPr="00D4443E">
        <w:rPr>
          <w:rFonts w:asciiTheme="minorHAnsi" w:hAnsiTheme="minorHAnsi" w:cstheme="minorHAnsi"/>
          <w:color w:val="000000" w:themeColor="text1"/>
          <w:sz w:val="22"/>
          <w:szCs w:val="22"/>
          <w:lang w:val="en-US"/>
        </w:rPr>
        <w:t xml:space="preserve">The Parochial Church Council of   </w:t>
      </w:r>
    </w:p>
    <w:p w14:paraId="18BC1F13" w14:textId="3F67737C" w:rsidR="00C35ED0" w:rsidRPr="00D4443E" w:rsidRDefault="00C35ED0" w:rsidP="00C35ED0">
      <w:pPr>
        <w:rPr>
          <w:lang w:val="en-US"/>
        </w:rPr>
      </w:pPr>
    </w:p>
    <w:p w14:paraId="391B788F" w14:textId="006E70C8" w:rsidR="004B2EBE" w:rsidRPr="00D4443E" w:rsidRDefault="004B2EBE" w:rsidP="00C35ED0">
      <w:pPr>
        <w:spacing w:line="360" w:lineRule="auto"/>
        <w:rPr>
          <w:lang w:val="en-US"/>
        </w:rPr>
      </w:pPr>
      <w:r w:rsidRPr="00D4443E">
        <w:rPr>
          <w:noProof/>
          <w:lang w:val="en-US"/>
        </w:rPr>
        <mc:AlternateContent>
          <mc:Choice Requires="wps">
            <w:drawing>
              <wp:anchor distT="0" distB="0" distL="114300" distR="114300" simplePos="0" relativeHeight="251662336" behindDoc="0" locked="0" layoutInCell="1" allowOverlap="1" wp14:anchorId="402F42D1" wp14:editId="6C81F554">
                <wp:simplePos x="0" y="0"/>
                <wp:positionH relativeFrom="column">
                  <wp:posOffset>628650</wp:posOffset>
                </wp:positionH>
                <wp:positionV relativeFrom="paragraph">
                  <wp:posOffset>161925</wp:posOffset>
                </wp:positionV>
                <wp:extent cx="17335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A736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2.75pt" to="1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" strokecolor="black [3200]" strokeweight=".5pt">
                <v:stroke joinstyle="miter"/>
              </v:line>
            </w:pict>
          </mc:Fallback>
        </mc:AlternateContent>
      </w:r>
      <w:r w:rsidR="00C35ED0" w:rsidRPr="00D4443E">
        <w:rPr>
          <w:lang w:val="en-US"/>
        </w:rPr>
        <w:t xml:space="preserve">agreed </w:t>
      </w:r>
      <w:r w:rsidRPr="00D4443E">
        <w:rPr>
          <w:lang w:val="en-US"/>
        </w:rPr>
        <w:t>on</w:t>
      </w:r>
    </w:p>
    <w:p w14:paraId="5C52A56B" w14:textId="3C1F87E2" w:rsidR="00C35ED0" w:rsidRPr="00D4443E" w:rsidRDefault="00C35ED0" w:rsidP="00C35ED0">
      <w:pPr>
        <w:spacing w:line="360" w:lineRule="auto"/>
        <w:rPr>
          <w:lang w:val="en-US"/>
        </w:rPr>
      </w:pPr>
      <w:r w:rsidRPr="00D4443E">
        <w:rPr>
          <w:lang w:val="en-US"/>
        </w:rPr>
        <w:t>to adopt the policy commitments</w:t>
      </w:r>
      <w:r w:rsidR="00AA3693" w:rsidRPr="00D4443E">
        <w:rPr>
          <w:lang w:val="en-US"/>
        </w:rPr>
        <w:t xml:space="preserve"> below</w:t>
      </w:r>
      <w:r w:rsidRPr="00D4443E">
        <w:rPr>
          <w:lang w:val="en-US"/>
        </w:rPr>
        <w:t xml:space="preserve"> when considering applications for roles</w:t>
      </w:r>
      <w:r w:rsidR="00A81098" w:rsidRPr="00D4443E">
        <w:rPr>
          <w:lang w:val="en-US"/>
        </w:rPr>
        <w:t xml:space="preserve"> within our </w:t>
      </w:r>
      <w:proofErr w:type="spellStart"/>
      <w:r w:rsidR="00A81098" w:rsidRPr="00D4443E">
        <w:rPr>
          <w:lang w:val="en-US"/>
        </w:rPr>
        <w:t>organisation</w:t>
      </w:r>
      <w:proofErr w:type="spellEnd"/>
      <w:r w:rsidR="004B2EBE" w:rsidRPr="00D4443E">
        <w:rPr>
          <w:lang w:val="en-US"/>
        </w:rPr>
        <w:t>.</w:t>
      </w:r>
      <w:r w:rsidRPr="00D4443E">
        <w:rPr>
          <w:lang w:val="en-US"/>
        </w:rPr>
        <w:t xml:space="preserve"> </w:t>
      </w:r>
    </w:p>
    <w:p w14:paraId="79396D7B" w14:textId="77777777" w:rsidR="0057714F" w:rsidRDefault="00857B6A" w:rsidP="0057714F">
      <w:pPr>
        <w:pStyle w:val="NormalWeb"/>
        <w:numPr>
          <w:ilvl w:val="0"/>
          <w:numId w:val="7"/>
        </w:numPr>
        <w:shd w:val="clear" w:color="auto" w:fill="FFFFFF"/>
        <w:spacing w:before="0" w:beforeAutospacing="0" w:after="0" w:afterAutospacing="0" w:line="276" w:lineRule="auto"/>
        <w:ind w:left="360"/>
        <w:rPr>
          <w:rFonts w:asciiTheme="minorHAnsi" w:hAnsiTheme="minorHAnsi" w:cs="Arial"/>
          <w:color w:val="0B0C0C"/>
          <w:sz w:val="22"/>
          <w:szCs w:val="22"/>
        </w:rPr>
      </w:pPr>
      <w:r>
        <w:rPr>
          <w:rFonts w:asciiTheme="minorHAnsi" w:hAnsiTheme="minorHAnsi" w:cs="Arial"/>
          <w:iCs/>
          <w:color w:val="0B0C0C"/>
          <w:sz w:val="22"/>
          <w:szCs w:val="22"/>
        </w:rPr>
        <w:t xml:space="preserve">We are </w:t>
      </w:r>
      <w:r w:rsidRPr="00BD26C4">
        <w:rPr>
          <w:rFonts w:asciiTheme="minorHAnsi" w:hAnsiTheme="minorHAnsi" w:cs="Arial"/>
          <w:color w:val="0B0C0C"/>
          <w:sz w:val="22"/>
          <w:szCs w:val="22"/>
        </w:rPr>
        <w:t xml:space="preserve">committed to the fair treatment </w:t>
      </w:r>
      <w:r w:rsidRPr="0057714F">
        <w:rPr>
          <w:rFonts w:asciiTheme="minorHAnsi" w:hAnsiTheme="minorHAnsi" w:cs="Arial"/>
          <w:color w:val="0B0C0C"/>
          <w:sz w:val="22"/>
          <w:szCs w:val="22"/>
        </w:rPr>
        <w:t>of our current and potential employees, volunteers and office holders,</w:t>
      </w:r>
      <w:r>
        <w:rPr>
          <w:rFonts w:asciiTheme="minorHAnsi" w:hAnsiTheme="minorHAnsi" w:cs="Arial"/>
          <w:color w:val="0B0C0C"/>
          <w:sz w:val="22"/>
          <w:szCs w:val="22"/>
        </w:rPr>
        <w:t xml:space="preserve"> </w:t>
      </w:r>
      <w:r w:rsidRPr="00BD26C4">
        <w:rPr>
          <w:rFonts w:asciiTheme="minorHAnsi" w:hAnsiTheme="minorHAnsi" w:cs="Arial"/>
          <w:color w:val="0B0C0C"/>
          <w:sz w:val="22"/>
          <w:szCs w:val="22"/>
        </w:rPr>
        <w:t>regardless of race, gender, religion, sexual orientation, responsibilities for dependants, age, physical/mental disability or offending background</w:t>
      </w:r>
      <w:r>
        <w:rPr>
          <w:rFonts w:asciiTheme="minorHAnsi" w:hAnsiTheme="minorHAnsi" w:cs="Arial"/>
          <w:color w:val="0B0C0C"/>
          <w:sz w:val="22"/>
          <w:szCs w:val="22"/>
        </w:rPr>
        <w:t>.</w:t>
      </w:r>
    </w:p>
    <w:p w14:paraId="06116A8B" w14:textId="77777777" w:rsidR="0057714F" w:rsidRDefault="0057714F" w:rsidP="0057714F">
      <w:pPr>
        <w:pStyle w:val="NormalWeb"/>
        <w:shd w:val="clear" w:color="auto" w:fill="FFFFFF"/>
        <w:spacing w:before="0" w:beforeAutospacing="0" w:after="0" w:afterAutospacing="0" w:line="276" w:lineRule="auto"/>
        <w:ind w:left="360"/>
        <w:rPr>
          <w:rFonts w:asciiTheme="minorHAnsi" w:hAnsiTheme="minorHAnsi" w:cs="Arial"/>
          <w:color w:val="0B0C0C"/>
          <w:sz w:val="22"/>
          <w:szCs w:val="22"/>
        </w:rPr>
      </w:pPr>
    </w:p>
    <w:p w14:paraId="5B2CE18E" w14:textId="54FB3351" w:rsidR="00F20938" w:rsidRDefault="00C35ED0" w:rsidP="0057714F">
      <w:pPr>
        <w:pStyle w:val="NormalWeb"/>
        <w:numPr>
          <w:ilvl w:val="0"/>
          <w:numId w:val="7"/>
        </w:numPr>
        <w:shd w:val="clear" w:color="auto" w:fill="FFFFFF"/>
        <w:spacing w:before="0" w:beforeAutospacing="0" w:after="0" w:afterAutospacing="0" w:line="276" w:lineRule="auto"/>
        <w:ind w:left="360"/>
        <w:rPr>
          <w:rFonts w:asciiTheme="minorHAnsi" w:hAnsiTheme="minorHAnsi" w:cstheme="minorHAnsi"/>
          <w:color w:val="0B0C0C"/>
          <w:sz w:val="22"/>
          <w:szCs w:val="22"/>
        </w:rPr>
      </w:pPr>
      <w:r w:rsidRPr="0057714F">
        <w:rPr>
          <w:rFonts w:asciiTheme="minorHAnsi" w:hAnsiTheme="minorHAnsi" w:cstheme="minorHAnsi"/>
          <w:color w:val="0B0C0C"/>
          <w:sz w:val="22"/>
          <w:szCs w:val="22"/>
        </w:rPr>
        <w:t>A</w:t>
      </w:r>
      <w:r w:rsidR="00F20938" w:rsidRPr="0057714F">
        <w:rPr>
          <w:rFonts w:asciiTheme="minorHAnsi" w:hAnsiTheme="minorHAnsi" w:cstheme="minorHAnsi"/>
          <w:color w:val="0B0C0C"/>
          <w:sz w:val="22"/>
          <w:szCs w:val="22"/>
        </w:rPr>
        <w:t xml:space="preserve">s an organisation assessing applicants’ suitability for positions which are </w:t>
      </w:r>
      <w:r w:rsidR="0057714F" w:rsidRPr="0057714F">
        <w:rPr>
          <w:rFonts w:asciiTheme="minorHAnsi" w:hAnsiTheme="minorHAnsi" w:cstheme="minorHAnsi"/>
          <w:color w:val="0B0C0C"/>
          <w:sz w:val="22"/>
          <w:szCs w:val="22"/>
        </w:rPr>
        <w:t xml:space="preserve">exempt from the Rehabilitations Act 1974 </w:t>
      </w:r>
      <w:r w:rsidR="00F20938" w:rsidRPr="0057714F">
        <w:rPr>
          <w:rFonts w:asciiTheme="minorHAnsi" w:hAnsiTheme="minorHAnsi" w:cstheme="minorHAnsi"/>
          <w:color w:val="0B0C0C"/>
          <w:sz w:val="22"/>
          <w:szCs w:val="22"/>
        </w:rPr>
        <w:t>using criminal record checks processed through the Disclosure and Barr</w:t>
      </w:r>
      <w:r w:rsidR="000D5415" w:rsidRPr="0057714F">
        <w:rPr>
          <w:rFonts w:asciiTheme="minorHAnsi" w:hAnsiTheme="minorHAnsi" w:cstheme="minorHAnsi"/>
          <w:color w:val="0B0C0C"/>
          <w:sz w:val="22"/>
          <w:szCs w:val="22"/>
        </w:rPr>
        <w:t xml:space="preserve">ing Service (DBS), </w:t>
      </w:r>
      <w:r w:rsidRPr="0057714F">
        <w:rPr>
          <w:rFonts w:asciiTheme="minorHAnsi" w:hAnsiTheme="minorHAnsi" w:cstheme="minorHAnsi"/>
          <w:iCs/>
          <w:color w:val="0B0C0C"/>
          <w:sz w:val="22"/>
          <w:szCs w:val="22"/>
        </w:rPr>
        <w:t>we will</w:t>
      </w:r>
      <w:r w:rsidRPr="0057714F">
        <w:rPr>
          <w:rFonts w:asciiTheme="minorHAnsi" w:hAnsiTheme="minorHAnsi" w:cstheme="minorHAnsi"/>
          <w:i/>
          <w:color w:val="0B0C0C"/>
          <w:sz w:val="22"/>
          <w:szCs w:val="22"/>
        </w:rPr>
        <w:t xml:space="preserve"> </w:t>
      </w:r>
      <w:r w:rsidR="00F20938" w:rsidRPr="0057714F">
        <w:rPr>
          <w:rFonts w:asciiTheme="minorHAnsi" w:hAnsiTheme="minorHAnsi" w:cstheme="minorHAnsi"/>
          <w:color w:val="0B0C0C"/>
          <w:sz w:val="22"/>
          <w:szCs w:val="22"/>
        </w:rPr>
        <w:t>compl</w:t>
      </w:r>
      <w:r w:rsidRPr="0057714F">
        <w:rPr>
          <w:rFonts w:asciiTheme="minorHAnsi" w:hAnsiTheme="minorHAnsi" w:cstheme="minorHAnsi"/>
          <w:color w:val="0B0C0C"/>
          <w:sz w:val="22"/>
          <w:szCs w:val="22"/>
        </w:rPr>
        <w:t>y</w:t>
      </w:r>
      <w:r w:rsidR="00F20938" w:rsidRPr="0057714F">
        <w:rPr>
          <w:rFonts w:asciiTheme="minorHAnsi" w:hAnsiTheme="minorHAnsi" w:cstheme="minorHAnsi"/>
          <w:color w:val="0B0C0C"/>
          <w:sz w:val="22"/>
          <w:szCs w:val="22"/>
        </w:rPr>
        <w:t xml:space="preserve"> fully with the</w:t>
      </w:r>
      <w:r w:rsidRPr="0057714F">
        <w:rPr>
          <w:rFonts w:asciiTheme="minorHAnsi" w:hAnsiTheme="minorHAnsi" w:cstheme="minorHAnsi"/>
          <w:color w:val="0B0C0C"/>
          <w:sz w:val="22"/>
          <w:szCs w:val="22"/>
        </w:rPr>
        <w:t xml:space="preserve"> DBS</w:t>
      </w:r>
      <w:r w:rsidR="00F20938" w:rsidRPr="0057714F">
        <w:rPr>
          <w:rStyle w:val="apple-converted-space"/>
          <w:rFonts w:asciiTheme="minorHAnsi" w:hAnsiTheme="minorHAnsi" w:cstheme="minorHAnsi"/>
          <w:color w:val="0B0C0C"/>
          <w:sz w:val="22"/>
          <w:szCs w:val="22"/>
        </w:rPr>
        <w:t> </w:t>
      </w:r>
      <w:hyperlink r:id="rId10" w:history="1">
        <w:r w:rsidR="00F20938" w:rsidRPr="0057714F">
          <w:rPr>
            <w:rStyle w:val="Hyperlink"/>
            <w:rFonts w:asciiTheme="minorHAnsi" w:hAnsiTheme="minorHAnsi" w:cstheme="minorHAnsi"/>
            <w:i/>
            <w:iCs/>
            <w:color w:val="7F7F7F" w:themeColor="text1" w:themeTint="80"/>
            <w:sz w:val="22"/>
            <w:szCs w:val="22"/>
            <w:bdr w:val="none" w:sz="0" w:space="0" w:color="auto" w:frame="1"/>
          </w:rPr>
          <w:t>code of practice</w:t>
        </w:r>
      </w:hyperlink>
      <w:r w:rsidR="004B2EBE" w:rsidRPr="0057714F">
        <w:rPr>
          <w:rStyle w:val="Hyperlink"/>
          <w:rFonts w:asciiTheme="minorHAnsi" w:hAnsiTheme="minorHAnsi" w:cstheme="minorHAnsi"/>
          <w:i/>
          <w:iCs/>
          <w:color w:val="7F7F7F" w:themeColor="text1" w:themeTint="80"/>
          <w:sz w:val="22"/>
          <w:szCs w:val="22"/>
          <w:bdr w:val="none" w:sz="0" w:space="0" w:color="auto" w:frame="1"/>
        </w:rPr>
        <w:t>,</w:t>
      </w:r>
      <w:r w:rsidR="004B2EBE" w:rsidRPr="0057714F">
        <w:rPr>
          <w:rStyle w:val="Hyperlink"/>
          <w:rFonts w:asciiTheme="minorHAnsi" w:hAnsiTheme="minorHAnsi" w:cstheme="minorHAnsi"/>
          <w:color w:val="4C2C92"/>
          <w:sz w:val="22"/>
          <w:szCs w:val="22"/>
          <w:bdr w:val="none" w:sz="0" w:space="0" w:color="auto" w:frame="1"/>
        </w:rPr>
        <w:t xml:space="preserve"> </w:t>
      </w:r>
      <w:r w:rsidR="004B2EBE" w:rsidRPr="0057714F">
        <w:rPr>
          <w:rStyle w:val="Hyperlink"/>
          <w:rFonts w:asciiTheme="minorHAnsi" w:hAnsiTheme="minorHAnsi" w:cstheme="minorHAnsi"/>
          <w:color w:val="000000" w:themeColor="text1"/>
          <w:sz w:val="22"/>
          <w:szCs w:val="22"/>
          <w:u w:val="none"/>
          <w:bdr w:val="none" w:sz="0" w:space="0" w:color="auto" w:frame="1"/>
        </w:rPr>
        <w:t xml:space="preserve">all </w:t>
      </w:r>
      <w:r w:rsidR="00A81098" w:rsidRPr="0057714F">
        <w:rPr>
          <w:rStyle w:val="Hyperlink"/>
          <w:rFonts w:asciiTheme="minorHAnsi" w:hAnsiTheme="minorHAnsi" w:cstheme="minorHAnsi"/>
          <w:color w:val="000000" w:themeColor="text1"/>
          <w:sz w:val="22"/>
          <w:szCs w:val="22"/>
          <w:u w:val="none"/>
          <w:bdr w:val="none" w:sz="0" w:space="0" w:color="auto" w:frame="1"/>
        </w:rPr>
        <w:t xml:space="preserve">relevant </w:t>
      </w:r>
      <w:r w:rsidR="004B2EBE" w:rsidRPr="0057714F">
        <w:rPr>
          <w:rStyle w:val="Hyperlink"/>
          <w:rFonts w:asciiTheme="minorHAnsi" w:hAnsiTheme="minorHAnsi" w:cstheme="minorHAnsi"/>
          <w:color w:val="000000" w:themeColor="text1"/>
          <w:sz w:val="22"/>
          <w:szCs w:val="22"/>
          <w:u w:val="none"/>
          <w:bdr w:val="none" w:sz="0" w:space="0" w:color="auto" w:frame="1"/>
        </w:rPr>
        <w:t xml:space="preserve">legislation and House of Bishops’ </w:t>
      </w:r>
      <w:hyperlink r:id="rId11" w:history="1">
        <w:r w:rsidR="004B2EBE" w:rsidRPr="00E12A8F">
          <w:rPr>
            <w:rStyle w:val="Hyperlink"/>
            <w:rFonts w:asciiTheme="minorHAnsi" w:hAnsiTheme="minorHAnsi" w:cstheme="minorHAnsi"/>
            <w:i/>
            <w:iCs/>
            <w:color w:val="7F7F7F" w:themeColor="text1" w:themeTint="80"/>
            <w:sz w:val="22"/>
            <w:szCs w:val="22"/>
            <w:bdr w:val="none" w:sz="0" w:space="0" w:color="auto" w:frame="1"/>
          </w:rPr>
          <w:t>Safer Recruitment &amp; People Management</w:t>
        </w:r>
      </w:hyperlink>
      <w:r w:rsidR="004B2EBE" w:rsidRPr="0057714F">
        <w:rPr>
          <w:rStyle w:val="Hyperlink"/>
          <w:rFonts w:asciiTheme="minorHAnsi" w:hAnsiTheme="minorHAnsi" w:cstheme="minorHAnsi"/>
          <w:i/>
          <w:iCs/>
          <w:color w:val="7F7F7F" w:themeColor="text1" w:themeTint="80"/>
          <w:sz w:val="22"/>
          <w:szCs w:val="22"/>
          <w:u w:val="none"/>
          <w:bdr w:val="none" w:sz="0" w:space="0" w:color="auto" w:frame="1"/>
        </w:rPr>
        <w:t xml:space="preserve"> </w:t>
      </w:r>
      <w:r w:rsidR="004B2EBE" w:rsidRPr="0057714F">
        <w:rPr>
          <w:rStyle w:val="Hyperlink"/>
          <w:rFonts w:asciiTheme="minorHAnsi" w:hAnsiTheme="minorHAnsi" w:cstheme="minorHAnsi"/>
          <w:color w:val="000000" w:themeColor="text1"/>
          <w:sz w:val="22"/>
          <w:szCs w:val="22"/>
          <w:u w:val="none"/>
          <w:bdr w:val="none" w:sz="0" w:space="0" w:color="auto" w:frame="1"/>
        </w:rPr>
        <w:t>guidance</w:t>
      </w:r>
      <w:r w:rsidR="00F20938" w:rsidRPr="0057714F">
        <w:rPr>
          <w:rStyle w:val="apple-converted-space"/>
          <w:rFonts w:asciiTheme="minorHAnsi" w:hAnsiTheme="minorHAnsi" w:cstheme="minorHAnsi"/>
          <w:color w:val="000000" w:themeColor="text1"/>
          <w:sz w:val="22"/>
          <w:szCs w:val="22"/>
        </w:rPr>
        <w:t> </w:t>
      </w:r>
      <w:r w:rsidR="00F20938" w:rsidRPr="0057714F">
        <w:rPr>
          <w:rFonts w:asciiTheme="minorHAnsi" w:hAnsiTheme="minorHAnsi" w:cstheme="minorHAnsi"/>
          <w:color w:val="0B0C0C"/>
          <w:sz w:val="22"/>
          <w:szCs w:val="22"/>
        </w:rPr>
        <w:t xml:space="preserve">and undertake to treat all applicants for </w:t>
      </w:r>
      <w:r w:rsidR="00A81098" w:rsidRPr="0057714F">
        <w:rPr>
          <w:rFonts w:asciiTheme="minorHAnsi" w:hAnsiTheme="minorHAnsi" w:cstheme="minorHAnsi"/>
          <w:color w:val="0B0C0C"/>
          <w:sz w:val="22"/>
          <w:szCs w:val="22"/>
        </w:rPr>
        <w:t>roles</w:t>
      </w:r>
      <w:r w:rsidR="00F20938" w:rsidRPr="0057714F">
        <w:rPr>
          <w:rFonts w:asciiTheme="minorHAnsi" w:hAnsiTheme="minorHAnsi" w:cstheme="minorHAnsi"/>
          <w:color w:val="0B0C0C"/>
          <w:sz w:val="22"/>
          <w:szCs w:val="22"/>
        </w:rPr>
        <w:t xml:space="preserve"> fairly</w:t>
      </w:r>
      <w:r w:rsidRPr="0057714F">
        <w:rPr>
          <w:rFonts w:asciiTheme="minorHAnsi" w:hAnsiTheme="minorHAnsi" w:cstheme="minorHAnsi"/>
          <w:color w:val="0B0C0C"/>
          <w:sz w:val="22"/>
          <w:szCs w:val="22"/>
        </w:rPr>
        <w:t>.</w:t>
      </w:r>
      <w:r w:rsidR="000F42D6">
        <w:rPr>
          <w:rStyle w:val="FootnoteReference"/>
          <w:rFonts w:asciiTheme="minorHAnsi" w:hAnsiTheme="minorHAnsi" w:cstheme="minorHAnsi"/>
          <w:color w:val="0B0C0C"/>
          <w:sz w:val="22"/>
          <w:szCs w:val="22"/>
        </w:rPr>
        <w:footnoteReference w:id="2"/>
      </w:r>
    </w:p>
    <w:p w14:paraId="26A01863" w14:textId="77777777" w:rsidR="0057714F" w:rsidRPr="0057714F" w:rsidRDefault="0057714F" w:rsidP="0057714F">
      <w:pPr>
        <w:pStyle w:val="NormalWeb"/>
        <w:shd w:val="clear" w:color="auto" w:fill="FFFFFF"/>
        <w:spacing w:before="0" w:beforeAutospacing="0" w:after="0" w:afterAutospacing="0" w:line="276" w:lineRule="auto"/>
        <w:rPr>
          <w:rFonts w:asciiTheme="minorHAnsi" w:hAnsiTheme="minorHAnsi" w:cstheme="minorHAnsi"/>
          <w:color w:val="0B0C0C"/>
          <w:sz w:val="22"/>
          <w:szCs w:val="22"/>
        </w:rPr>
      </w:pPr>
    </w:p>
    <w:p w14:paraId="058102F6" w14:textId="77777777" w:rsidR="00857B6A" w:rsidRPr="0057714F" w:rsidRDefault="004B2EBE" w:rsidP="0057714F">
      <w:pPr>
        <w:pStyle w:val="ListParagraph"/>
        <w:numPr>
          <w:ilvl w:val="0"/>
          <w:numId w:val="7"/>
        </w:numPr>
        <w:spacing w:after="0" w:line="276" w:lineRule="auto"/>
        <w:ind w:left="360"/>
        <w:rPr>
          <w:shd w:val="clear" w:color="auto" w:fill="FFFFFF"/>
        </w:rPr>
      </w:pPr>
      <w:r w:rsidRPr="0057714F">
        <w:rPr>
          <w:color w:val="000000"/>
          <w:shd w:val="clear" w:color="auto" w:fill="FFFFFF"/>
        </w:rPr>
        <w:t xml:space="preserve">We are committed to equality of opportunity for all applicants and aim to select </w:t>
      </w:r>
      <w:r w:rsidR="00211D46" w:rsidRPr="0057714F">
        <w:rPr>
          <w:color w:val="000000"/>
          <w:shd w:val="clear" w:color="auto" w:fill="FFFFFF"/>
        </w:rPr>
        <w:t>people</w:t>
      </w:r>
      <w:r w:rsidRPr="0057714F">
        <w:rPr>
          <w:color w:val="000000"/>
          <w:shd w:val="clear" w:color="auto" w:fill="FFFFFF"/>
        </w:rPr>
        <w:t xml:space="preserve"> for roles with us based on their skills, abilities, experience, knowledge and, where needed, qualifications and training.</w:t>
      </w:r>
      <w:r w:rsidR="00211D46" w:rsidRPr="0057714F">
        <w:rPr>
          <w:color w:val="000000"/>
          <w:shd w:val="clear" w:color="auto" w:fill="FFFFFF"/>
        </w:rPr>
        <w:t xml:space="preserve"> We will consider applicants who have a criminal record on their individual merits</w:t>
      </w:r>
      <w:r w:rsidR="000207B8" w:rsidRPr="0057714F">
        <w:rPr>
          <w:color w:val="000000"/>
          <w:shd w:val="clear" w:color="auto" w:fill="FFFFFF"/>
        </w:rPr>
        <w:t>.</w:t>
      </w:r>
      <w:r w:rsidR="00211D46" w:rsidRPr="0057714F">
        <w:rPr>
          <w:color w:val="000000"/>
          <w:shd w:val="clear" w:color="auto" w:fill="FFFFFF"/>
        </w:rPr>
        <w:t xml:space="preserve"> </w:t>
      </w:r>
    </w:p>
    <w:p w14:paraId="7FA08A0C" w14:textId="77777777" w:rsidR="0057714F" w:rsidRPr="0057714F" w:rsidRDefault="0057714F" w:rsidP="0057714F">
      <w:pPr>
        <w:spacing w:after="0" w:line="276" w:lineRule="auto"/>
        <w:rPr>
          <w:shd w:val="clear" w:color="auto" w:fill="FFFFFF"/>
        </w:rPr>
      </w:pPr>
    </w:p>
    <w:p w14:paraId="42B1AB5B" w14:textId="798F3213" w:rsidR="00211D46" w:rsidRDefault="00211D46" w:rsidP="0057714F">
      <w:pPr>
        <w:pStyle w:val="ListParagraph"/>
        <w:numPr>
          <w:ilvl w:val="0"/>
          <w:numId w:val="7"/>
        </w:numPr>
        <w:spacing w:after="0" w:line="276" w:lineRule="auto"/>
        <w:ind w:left="360"/>
        <w:rPr>
          <w:shd w:val="clear" w:color="auto" w:fill="FFFFFF"/>
        </w:rPr>
      </w:pPr>
      <w:r w:rsidRPr="0057714F">
        <w:rPr>
          <w:shd w:val="clear" w:color="auto" w:fill="FFFFFF"/>
        </w:rPr>
        <w:t xml:space="preserve">For roles covered by the Rehabilitation of Offenders Act we will not ask an applicant to disclose any criminal history that is spent. We will only ask an applicant about their unspent criminal history. </w:t>
      </w:r>
    </w:p>
    <w:p w14:paraId="5CCBBDE2" w14:textId="77777777" w:rsidR="0057714F" w:rsidRPr="0057714F" w:rsidRDefault="0057714F" w:rsidP="0057714F">
      <w:pPr>
        <w:spacing w:after="0" w:line="276" w:lineRule="auto"/>
        <w:rPr>
          <w:shd w:val="clear" w:color="auto" w:fill="FFFFFF"/>
        </w:rPr>
      </w:pPr>
    </w:p>
    <w:p w14:paraId="4B8CB8B0" w14:textId="4F4DD2B3" w:rsidR="00211D46" w:rsidRDefault="00211D46" w:rsidP="0057714F">
      <w:pPr>
        <w:pStyle w:val="ListParagraph"/>
        <w:numPr>
          <w:ilvl w:val="0"/>
          <w:numId w:val="7"/>
        </w:numPr>
        <w:spacing w:after="0" w:line="276" w:lineRule="auto"/>
        <w:ind w:left="360"/>
        <w:rPr>
          <w:shd w:val="clear" w:color="auto" w:fill="FFFFFF"/>
        </w:rPr>
      </w:pPr>
      <w:r w:rsidRPr="0057714F">
        <w:rPr>
          <w:shd w:val="clear" w:color="auto" w:fill="FFFFFF"/>
        </w:rPr>
        <w:t>For roles that are exempt from the Rehabilitation of Offenders Act</w:t>
      </w:r>
      <w:r w:rsidR="000207B8" w:rsidRPr="0057714F">
        <w:rPr>
          <w:shd w:val="clear" w:color="auto" w:fill="FFFFFF"/>
        </w:rPr>
        <w:t xml:space="preserve"> we will ask applicants to disclose all criminal history, spent and unspent (other than protected cautions and convictions).  Where we wish to select the person for the role</w:t>
      </w:r>
      <w:r w:rsidR="00857B6A" w:rsidRPr="0057714F">
        <w:rPr>
          <w:shd w:val="clear" w:color="auto" w:fill="FFFFFF"/>
        </w:rPr>
        <w:t>,</w:t>
      </w:r>
      <w:r w:rsidR="000207B8" w:rsidRPr="0057714F">
        <w:rPr>
          <w:shd w:val="clear" w:color="auto" w:fill="FFFFFF"/>
        </w:rPr>
        <w:t xml:space="preserve"> we will ask them to apply for a D</w:t>
      </w:r>
      <w:r w:rsidR="00D4443E">
        <w:rPr>
          <w:shd w:val="clear" w:color="auto" w:fill="FFFFFF"/>
        </w:rPr>
        <w:t xml:space="preserve">BS </w:t>
      </w:r>
      <w:r w:rsidR="000207B8" w:rsidRPr="0057714F">
        <w:rPr>
          <w:shd w:val="clear" w:color="auto" w:fill="FFFFFF"/>
        </w:rPr>
        <w:t>check appropriate to the role.</w:t>
      </w:r>
    </w:p>
    <w:p w14:paraId="3AC9AFD6" w14:textId="26947082" w:rsidR="00D4443E" w:rsidRPr="004B7D37" w:rsidRDefault="00D4443E" w:rsidP="004B7D37">
      <w:pPr>
        <w:spacing w:after="0" w:line="276" w:lineRule="auto"/>
        <w:rPr>
          <w:shd w:val="clear" w:color="auto" w:fill="FFFFFF"/>
        </w:rPr>
      </w:pPr>
    </w:p>
    <w:p w14:paraId="037380B7" w14:textId="7141AC94" w:rsidR="000207B8" w:rsidRPr="00D4443E" w:rsidRDefault="0057714F" w:rsidP="0057714F">
      <w:pPr>
        <w:pStyle w:val="ListParagraph"/>
        <w:numPr>
          <w:ilvl w:val="0"/>
          <w:numId w:val="7"/>
        </w:numPr>
        <w:spacing w:after="0" w:line="276" w:lineRule="auto"/>
        <w:ind w:left="360"/>
        <w:rPr>
          <w:shd w:val="clear" w:color="auto" w:fill="FFFFFF"/>
        </w:rPr>
      </w:pPr>
      <w:r>
        <w:rPr>
          <w:color w:val="000000"/>
          <w:shd w:val="clear" w:color="auto" w:fill="FFFFFF"/>
        </w:rPr>
        <w:t>Where criminal history, or a potential risk of harm, has been disclosed in the recruitment process w</w:t>
      </w:r>
      <w:r w:rsidR="000207B8" w:rsidRPr="0057714F">
        <w:rPr>
          <w:color w:val="000000"/>
          <w:shd w:val="clear" w:color="auto" w:fill="FFFFFF"/>
        </w:rPr>
        <w:t>e will refer</w:t>
      </w:r>
      <w:r w:rsidR="00A81098" w:rsidRPr="0057714F">
        <w:rPr>
          <w:color w:val="000000"/>
          <w:shd w:val="clear" w:color="auto" w:fill="FFFFFF"/>
        </w:rPr>
        <w:t xml:space="preserve"> </w:t>
      </w:r>
      <w:r>
        <w:rPr>
          <w:color w:val="000000"/>
          <w:shd w:val="clear" w:color="auto" w:fill="FFFFFF"/>
        </w:rPr>
        <w:t xml:space="preserve">this information to </w:t>
      </w:r>
      <w:r w:rsidR="00A81098" w:rsidRPr="0057714F">
        <w:rPr>
          <w:color w:val="000000"/>
          <w:shd w:val="clear" w:color="auto" w:fill="FFFFFF"/>
        </w:rPr>
        <w:t>the Diocesan Safeguarding Officer for a risk assessment. The Diocesan Safeguarding Officer will advise whether the person may be offered the role</w:t>
      </w:r>
      <w:r w:rsidR="00D4443E">
        <w:rPr>
          <w:color w:val="000000"/>
          <w:shd w:val="clear" w:color="auto" w:fill="FFFFFF"/>
        </w:rPr>
        <w:t>.</w:t>
      </w:r>
      <w:r w:rsidR="004B7D37" w:rsidRPr="004B7D37">
        <w:rPr>
          <w:color w:val="000000"/>
          <w:shd w:val="clear" w:color="auto" w:fill="FFFFFF"/>
        </w:rPr>
        <w:t xml:space="preserve"> </w:t>
      </w:r>
      <w:r w:rsidR="004B7D37">
        <w:rPr>
          <w:color w:val="000000"/>
          <w:shd w:val="clear" w:color="auto" w:fill="FFFFFF"/>
        </w:rPr>
        <w:t xml:space="preserve">The </w:t>
      </w:r>
      <w:r w:rsidR="004B7D37" w:rsidRPr="0057714F">
        <w:rPr>
          <w:color w:val="000000"/>
          <w:shd w:val="clear" w:color="auto" w:fill="FFFFFF"/>
        </w:rPr>
        <w:t xml:space="preserve">relevance of the nature of the criminal history to the role applied for </w:t>
      </w:r>
      <w:r w:rsidR="004B7D37">
        <w:rPr>
          <w:color w:val="000000"/>
          <w:shd w:val="clear" w:color="auto" w:fill="FFFFFF"/>
        </w:rPr>
        <w:t xml:space="preserve">will always be assessed </w:t>
      </w:r>
      <w:r w:rsidR="004B7D37" w:rsidRPr="0057714F">
        <w:rPr>
          <w:color w:val="000000"/>
          <w:shd w:val="clear" w:color="auto" w:fill="FFFFFF"/>
        </w:rPr>
        <w:t>and an application will not automatically</w:t>
      </w:r>
      <w:r w:rsidR="004B7D37">
        <w:rPr>
          <w:color w:val="000000"/>
          <w:shd w:val="clear" w:color="auto" w:fill="FFFFFF"/>
        </w:rPr>
        <w:t xml:space="preserve"> be</w:t>
      </w:r>
      <w:r w:rsidR="004B7D37" w:rsidRPr="0057714F">
        <w:rPr>
          <w:color w:val="000000"/>
          <w:shd w:val="clear" w:color="auto" w:fill="FFFFFF"/>
        </w:rPr>
        <w:t xml:space="preserve"> refuse</w:t>
      </w:r>
      <w:r w:rsidR="004B7D37">
        <w:rPr>
          <w:color w:val="000000"/>
          <w:shd w:val="clear" w:color="auto" w:fill="FFFFFF"/>
        </w:rPr>
        <w:t>d</w:t>
      </w:r>
      <w:r w:rsidR="004B7D37" w:rsidRPr="0057714F">
        <w:rPr>
          <w:color w:val="000000"/>
          <w:shd w:val="clear" w:color="auto" w:fill="FFFFFF"/>
        </w:rPr>
        <w:t xml:space="preserve"> just because criminal history has been disclosed</w:t>
      </w:r>
      <w:r w:rsidR="004B7D37">
        <w:rPr>
          <w:color w:val="000000"/>
          <w:shd w:val="clear" w:color="auto" w:fill="FFFFFF"/>
        </w:rPr>
        <w:t>.</w:t>
      </w:r>
    </w:p>
    <w:p w14:paraId="63D4B5F7" w14:textId="77777777" w:rsidR="00D4443E" w:rsidRPr="00D4443E" w:rsidRDefault="00D4443E" w:rsidP="00D4443E">
      <w:pPr>
        <w:pStyle w:val="ListParagraph"/>
        <w:rPr>
          <w:shd w:val="clear" w:color="auto" w:fill="FFFFFF"/>
        </w:rPr>
      </w:pPr>
    </w:p>
    <w:p w14:paraId="759EB00C" w14:textId="77777777" w:rsidR="00D4443E" w:rsidRDefault="00D4443E" w:rsidP="00D4443E">
      <w:pPr>
        <w:pStyle w:val="ListParagraph"/>
        <w:spacing w:after="0" w:line="276" w:lineRule="auto"/>
        <w:ind w:left="360"/>
        <w:rPr>
          <w:shd w:val="clear" w:color="auto" w:fill="FFFFFF"/>
        </w:rPr>
      </w:pPr>
    </w:p>
    <w:p w14:paraId="6CC5FA51" w14:textId="77777777" w:rsidR="004B7D37" w:rsidRPr="0057714F" w:rsidRDefault="004B7D37" w:rsidP="00D4443E">
      <w:pPr>
        <w:pStyle w:val="ListParagraph"/>
        <w:spacing w:after="0" w:line="276" w:lineRule="auto"/>
        <w:ind w:left="360"/>
        <w:rPr>
          <w:shd w:val="clear" w:color="auto" w:fill="FFFFFF"/>
        </w:rPr>
      </w:pPr>
    </w:p>
    <w:p w14:paraId="63B0C60A" w14:textId="46CE1CF3" w:rsidR="00857B6A" w:rsidRPr="00BD26C4" w:rsidRDefault="00857B6A" w:rsidP="0057714F">
      <w:pPr>
        <w:pStyle w:val="NormalWeb"/>
        <w:numPr>
          <w:ilvl w:val="0"/>
          <w:numId w:val="7"/>
        </w:numPr>
        <w:shd w:val="clear" w:color="auto" w:fill="FFFFFF"/>
        <w:spacing w:before="0" w:beforeAutospacing="0" w:after="0" w:afterAutospacing="0" w:line="276" w:lineRule="auto"/>
        <w:ind w:left="360"/>
        <w:rPr>
          <w:rFonts w:asciiTheme="minorHAnsi" w:hAnsiTheme="minorHAnsi" w:cs="Arial"/>
          <w:color w:val="0B0C0C"/>
          <w:sz w:val="22"/>
          <w:szCs w:val="22"/>
        </w:rPr>
      </w:pPr>
      <w:r>
        <w:rPr>
          <w:rFonts w:asciiTheme="minorHAnsi" w:hAnsiTheme="minorHAnsi" w:cs="Arial"/>
          <w:color w:val="0B0C0C"/>
          <w:sz w:val="22"/>
          <w:szCs w:val="22"/>
        </w:rPr>
        <w:t xml:space="preserve">We will only </w:t>
      </w:r>
      <w:proofErr w:type="gramStart"/>
      <w:r>
        <w:rPr>
          <w:rFonts w:asciiTheme="minorHAnsi" w:hAnsiTheme="minorHAnsi" w:cs="Arial"/>
          <w:color w:val="0B0C0C"/>
          <w:sz w:val="22"/>
          <w:szCs w:val="22"/>
        </w:rPr>
        <w:t>submit a</w:t>
      </w:r>
      <w:r w:rsidRPr="00BD26C4">
        <w:rPr>
          <w:rFonts w:asciiTheme="minorHAnsi" w:hAnsiTheme="minorHAnsi" w:cs="Arial"/>
          <w:color w:val="0B0C0C"/>
          <w:sz w:val="22"/>
          <w:szCs w:val="22"/>
        </w:rPr>
        <w:t>n application</w:t>
      </w:r>
      <w:proofErr w:type="gramEnd"/>
      <w:r w:rsidRPr="00BD26C4">
        <w:rPr>
          <w:rFonts w:asciiTheme="minorHAnsi" w:hAnsiTheme="minorHAnsi" w:cs="Arial"/>
          <w:color w:val="0B0C0C"/>
          <w:sz w:val="22"/>
          <w:szCs w:val="22"/>
        </w:rPr>
        <w:t xml:space="preserve"> for a criminal record check to </w:t>
      </w:r>
      <w:r>
        <w:rPr>
          <w:rFonts w:asciiTheme="minorHAnsi" w:hAnsiTheme="minorHAnsi" w:cs="Arial"/>
          <w:color w:val="0B0C0C"/>
          <w:sz w:val="22"/>
          <w:szCs w:val="22"/>
        </w:rPr>
        <w:t xml:space="preserve">the </w:t>
      </w:r>
      <w:r w:rsidRPr="00BD26C4">
        <w:rPr>
          <w:rFonts w:asciiTheme="minorHAnsi" w:hAnsiTheme="minorHAnsi" w:cs="Arial"/>
          <w:color w:val="0B0C0C"/>
          <w:sz w:val="22"/>
          <w:szCs w:val="22"/>
        </w:rPr>
        <w:t>D</w:t>
      </w:r>
      <w:r w:rsidR="00D4443E">
        <w:rPr>
          <w:rFonts w:asciiTheme="minorHAnsi" w:hAnsiTheme="minorHAnsi" w:cs="Arial"/>
          <w:color w:val="0B0C0C"/>
          <w:sz w:val="22"/>
          <w:szCs w:val="22"/>
        </w:rPr>
        <w:t xml:space="preserve">BS </w:t>
      </w:r>
      <w:r w:rsidRPr="00BD26C4">
        <w:rPr>
          <w:rFonts w:asciiTheme="minorHAnsi" w:hAnsiTheme="minorHAnsi" w:cs="Arial"/>
          <w:color w:val="0B0C0C"/>
          <w:sz w:val="22"/>
          <w:szCs w:val="22"/>
        </w:rPr>
        <w:t xml:space="preserve">after a thorough risk assessment has indicated that one is both proportionate and relevant to the </w:t>
      </w:r>
      <w:r w:rsidR="00D4443E">
        <w:rPr>
          <w:rFonts w:asciiTheme="minorHAnsi" w:hAnsiTheme="minorHAnsi" w:cs="Arial"/>
          <w:color w:val="0B0C0C"/>
          <w:sz w:val="22"/>
          <w:szCs w:val="22"/>
        </w:rPr>
        <w:t>role</w:t>
      </w:r>
      <w:r w:rsidRPr="00BD26C4">
        <w:rPr>
          <w:rFonts w:asciiTheme="minorHAnsi" w:hAnsiTheme="minorHAnsi" w:cs="Arial"/>
          <w:color w:val="0B0C0C"/>
          <w:sz w:val="22"/>
          <w:szCs w:val="22"/>
        </w:rPr>
        <w:t xml:space="preserve">. For those </w:t>
      </w:r>
      <w:r w:rsidR="00D4443E">
        <w:rPr>
          <w:rFonts w:asciiTheme="minorHAnsi" w:hAnsiTheme="minorHAnsi" w:cs="Arial"/>
          <w:color w:val="0B0C0C"/>
          <w:sz w:val="22"/>
          <w:szCs w:val="22"/>
        </w:rPr>
        <w:t>roles</w:t>
      </w:r>
      <w:r w:rsidRPr="00BD26C4">
        <w:rPr>
          <w:rFonts w:asciiTheme="minorHAnsi" w:hAnsiTheme="minorHAnsi" w:cs="Arial"/>
          <w:color w:val="0B0C0C"/>
          <w:sz w:val="22"/>
          <w:szCs w:val="22"/>
        </w:rPr>
        <w:t xml:space="preserve"> where a criminal record check is identified as necessary, all application forms, adverts and recruitment briefs will contain a statement that an application for a DBS certificate will be submitted in the event of the individual being offered the position</w:t>
      </w:r>
      <w:r>
        <w:rPr>
          <w:rFonts w:asciiTheme="minorHAnsi" w:hAnsiTheme="minorHAnsi" w:cs="Arial"/>
          <w:color w:val="0B0C0C"/>
          <w:sz w:val="22"/>
          <w:szCs w:val="22"/>
        </w:rPr>
        <w:t>.</w:t>
      </w:r>
    </w:p>
    <w:p w14:paraId="73E99973" w14:textId="77777777" w:rsidR="00857B6A" w:rsidRPr="0057714F" w:rsidRDefault="00857B6A" w:rsidP="0057714F">
      <w:pPr>
        <w:spacing w:after="0" w:line="276" w:lineRule="auto"/>
        <w:rPr>
          <w:shd w:val="clear" w:color="auto" w:fill="FFFFFF"/>
        </w:rPr>
      </w:pPr>
    </w:p>
    <w:p w14:paraId="362565EF" w14:textId="718B34B1" w:rsidR="00D4443E" w:rsidRDefault="00857B6A" w:rsidP="00D4443E">
      <w:pPr>
        <w:pStyle w:val="NormalWeb"/>
        <w:numPr>
          <w:ilvl w:val="0"/>
          <w:numId w:val="7"/>
        </w:numPr>
        <w:shd w:val="clear" w:color="auto" w:fill="FFFFFF"/>
        <w:spacing w:before="0" w:beforeAutospacing="0" w:after="0" w:afterAutospacing="0" w:line="276" w:lineRule="auto"/>
        <w:ind w:left="360"/>
        <w:rPr>
          <w:rFonts w:asciiTheme="minorHAnsi" w:hAnsiTheme="minorHAnsi" w:cs="Arial"/>
          <w:color w:val="000000" w:themeColor="text1"/>
          <w:sz w:val="22"/>
          <w:szCs w:val="22"/>
        </w:rPr>
      </w:pPr>
      <w:r w:rsidRPr="00D4443E">
        <w:rPr>
          <w:rFonts w:asciiTheme="minorHAnsi" w:hAnsiTheme="minorHAnsi" w:cs="Arial"/>
          <w:color w:val="0B0C0C"/>
          <w:sz w:val="22"/>
          <w:szCs w:val="22"/>
        </w:rPr>
        <w:t>We will ensure that all those who are involved in the recruitment process have received appropriate guidance and training in the relevant legislation relating to the employment of ex-offenders</w:t>
      </w:r>
      <w:r w:rsidR="00D4443E">
        <w:rPr>
          <w:rFonts w:asciiTheme="minorHAnsi" w:hAnsiTheme="minorHAnsi" w:cs="Arial"/>
          <w:color w:val="0B0C0C"/>
          <w:sz w:val="22"/>
          <w:szCs w:val="22"/>
        </w:rPr>
        <w:t xml:space="preserve"> </w:t>
      </w:r>
      <w:r w:rsidRPr="00D4443E">
        <w:rPr>
          <w:rFonts w:asciiTheme="minorHAnsi" w:hAnsiTheme="minorHAnsi" w:cs="Arial"/>
          <w:color w:val="0B0C0C"/>
          <w:sz w:val="22"/>
          <w:szCs w:val="22"/>
        </w:rPr>
        <w:t xml:space="preserve">and eligibility of a role for a criminal record check. </w:t>
      </w:r>
    </w:p>
    <w:p w14:paraId="0C801A84" w14:textId="77777777" w:rsidR="00D4443E" w:rsidRPr="00D4443E" w:rsidRDefault="00D4443E" w:rsidP="00D4443E">
      <w:pPr>
        <w:pStyle w:val="NormalWeb"/>
        <w:shd w:val="clear" w:color="auto" w:fill="FFFFFF"/>
        <w:spacing w:before="0" w:beforeAutospacing="0" w:after="0" w:afterAutospacing="0" w:line="276" w:lineRule="auto"/>
        <w:rPr>
          <w:rFonts w:asciiTheme="minorHAnsi" w:hAnsiTheme="minorHAnsi" w:cs="Arial"/>
          <w:color w:val="000000" w:themeColor="text1"/>
          <w:sz w:val="22"/>
          <w:szCs w:val="22"/>
        </w:rPr>
      </w:pPr>
    </w:p>
    <w:p w14:paraId="20F6D9D1" w14:textId="1A41E375" w:rsidR="00FF2F8D" w:rsidRPr="00D4443E" w:rsidRDefault="00FF2F8D" w:rsidP="00D4443E">
      <w:pPr>
        <w:pStyle w:val="NormalWeb"/>
        <w:numPr>
          <w:ilvl w:val="0"/>
          <w:numId w:val="7"/>
        </w:numPr>
        <w:shd w:val="clear" w:color="auto" w:fill="FFFFFF"/>
        <w:spacing w:before="0" w:beforeAutospacing="0" w:after="0" w:afterAutospacing="0" w:line="276" w:lineRule="auto"/>
        <w:ind w:left="360"/>
        <w:rPr>
          <w:rFonts w:asciiTheme="minorHAnsi" w:hAnsiTheme="minorHAnsi" w:cs="Arial"/>
          <w:color w:val="000000" w:themeColor="text1"/>
          <w:sz w:val="22"/>
          <w:szCs w:val="22"/>
        </w:rPr>
      </w:pPr>
      <w:r w:rsidRPr="00D4443E">
        <w:rPr>
          <w:rFonts w:asciiTheme="minorHAnsi" w:hAnsiTheme="minorHAnsi" w:cs="Arial"/>
          <w:color w:val="000000" w:themeColor="text1"/>
          <w:sz w:val="22"/>
          <w:szCs w:val="22"/>
        </w:rPr>
        <w:t xml:space="preserve">This policy will be made available to all DBS applicants at the start </w:t>
      </w:r>
      <w:r w:rsidRPr="00D4443E">
        <w:rPr>
          <w:rFonts w:asciiTheme="minorHAnsi" w:hAnsiTheme="minorHAnsi" w:cs="Arial"/>
          <w:color w:val="0B0C0C"/>
          <w:sz w:val="22"/>
          <w:szCs w:val="22"/>
        </w:rPr>
        <w:t>of the recruitment process.</w:t>
      </w:r>
    </w:p>
    <w:p w14:paraId="1F5F1616" w14:textId="77777777" w:rsidR="00D4443E" w:rsidRPr="00D4443E" w:rsidRDefault="00D4443E" w:rsidP="00D4443E">
      <w:pPr>
        <w:pStyle w:val="NormalWeb"/>
        <w:shd w:val="clear" w:color="auto" w:fill="FFFFFF"/>
        <w:spacing w:before="0" w:beforeAutospacing="0" w:after="0" w:afterAutospacing="0" w:line="276" w:lineRule="auto"/>
        <w:rPr>
          <w:rFonts w:asciiTheme="minorHAnsi" w:hAnsiTheme="minorHAnsi" w:cs="Arial"/>
          <w:color w:val="FF0000"/>
          <w:sz w:val="22"/>
          <w:szCs w:val="22"/>
        </w:rPr>
      </w:pPr>
    </w:p>
    <w:p w14:paraId="5093F69B" w14:textId="77777777" w:rsidR="00857B6A" w:rsidRDefault="00857B6A" w:rsidP="0057714F">
      <w:pPr>
        <w:pStyle w:val="ListParagraph"/>
        <w:numPr>
          <w:ilvl w:val="0"/>
          <w:numId w:val="7"/>
        </w:numPr>
        <w:spacing w:after="0" w:line="276" w:lineRule="auto"/>
        <w:ind w:left="360"/>
        <w:rPr>
          <w:lang w:val="en-US"/>
        </w:rPr>
      </w:pPr>
      <w:r w:rsidRPr="00D4443E">
        <w:rPr>
          <w:lang w:val="en-US"/>
        </w:rPr>
        <w:t xml:space="preserve">This policy will be reviewed annually. </w:t>
      </w:r>
    </w:p>
    <w:p w14:paraId="1C9BEB2E" w14:textId="77777777" w:rsidR="00253229" w:rsidRPr="00253229" w:rsidRDefault="00253229" w:rsidP="00253229">
      <w:pPr>
        <w:pStyle w:val="ListParagraph"/>
        <w:rPr>
          <w:lang w:val="en-US"/>
        </w:rPr>
      </w:pPr>
    </w:p>
    <w:p w14:paraId="08255E36" w14:textId="5253C420" w:rsidR="00253229" w:rsidRPr="00253229" w:rsidRDefault="00253229" w:rsidP="00253229">
      <w:pPr>
        <w:spacing w:after="0" w:line="276" w:lineRule="auto"/>
        <w:rPr>
          <w:b/>
          <w:bCs/>
          <w:lang w:val="en-US"/>
        </w:rPr>
      </w:pPr>
      <w:r>
        <w:rPr>
          <w:b/>
          <w:bCs/>
          <w:lang w:val="en-US"/>
        </w:rPr>
        <w:t xml:space="preserve">ANNUAL </w:t>
      </w:r>
      <w:r w:rsidRPr="00253229">
        <w:rPr>
          <w:b/>
          <w:bCs/>
          <w:lang w:val="en-US"/>
        </w:rPr>
        <w:t>REVIEW LOG:</w:t>
      </w:r>
    </w:p>
    <w:p w14:paraId="40B810C1" w14:textId="77777777" w:rsidR="00AA3693" w:rsidRPr="002228CF" w:rsidRDefault="00AA3693" w:rsidP="00A32F9F">
      <w:pPr>
        <w:rPr>
          <w:i/>
          <w:color w:val="595959" w:themeColor="text1" w:themeTint="A6"/>
        </w:rPr>
      </w:pPr>
    </w:p>
    <w:sectPr w:rsidR="00AA3693" w:rsidRPr="002228CF" w:rsidSect="007B6310">
      <w:headerReference w:type="default" r:id="rId12"/>
      <w:footerReference w:type="default" r:id="rId13"/>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AAE9" w14:textId="77777777" w:rsidR="0042219B" w:rsidRDefault="0042219B" w:rsidP="00833B35">
      <w:pPr>
        <w:spacing w:after="0" w:line="240" w:lineRule="auto"/>
      </w:pPr>
      <w:r>
        <w:separator/>
      </w:r>
    </w:p>
  </w:endnote>
  <w:endnote w:type="continuationSeparator" w:id="0">
    <w:p w14:paraId="1D2C35E3" w14:textId="77777777" w:rsidR="0042219B" w:rsidRDefault="0042219B" w:rsidP="0083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689F1" w14:textId="77777777" w:rsidR="00833B35" w:rsidRPr="005B7962" w:rsidRDefault="005B7962" w:rsidP="005B7962">
    <w:pPr>
      <w:pBdr>
        <w:top w:val="single" w:sz="4" w:space="0" w:color="238D90"/>
        <w:left w:val="single" w:sz="4" w:space="31" w:color="238D90"/>
        <w:bottom w:val="single" w:sz="4" w:space="1" w:color="238D90"/>
        <w:right w:val="single" w:sz="4" w:space="31" w:color="238D90"/>
      </w:pBdr>
      <w:shd w:val="solid" w:color="238D90" w:fill="238D90"/>
      <w:tabs>
        <w:tab w:val="center" w:pos="4513"/>
        <w:tab w:val="right" w:pos="9026"/>
      </w:tabs>
      <w:spacing w:after="0" w:line="240" w:lineRule="auto"/>
      <w:rPr>
        <w:rFonts w:ascii="Calibri" w:eastAsia="Calibri" w:hAnsi="Calibri" w:cs="Times New Roman"/>
        <w:color w:val="FFFFFF"/>
        <w:szCs w:val="24"/>
        <w:lang w:val="en-US"/>
      </w:rPr>
    </w:pPr>
    <w:r w:rsidRPr="005B7962">
      <w:rPr>
        <w:rFonts w:ascii="Calibri" w:eastAsia="Calibri" w:hAnsi="Calibri" w:cs="Times New Roman"/>
        <w:color w:val="FFFFFF"/>
        <w:szCs w:val="24"/>
        <w:lang w:val="en-US"/>
      </w:rPr>
      <w:t xml:space="preserve">THE CHURCH OF ENGLAND – BIRMINGHAM | SAFEGUARDING | SAFER RECRUITMENT    </w:t>
    </w:r>
    <w:r>
      <w:rPr>
        <w:rFonts w:ascii="Calibri" w:eastAsia="Calibri" w:hAnsi="Calibri" w:cs="Times New Roman"/>
        <w:color w:val="FFFFFF"/>
        <w:szCs w:val="24"/>
        <w:lang w:val="en-US"/>
      </w:rPr>
      <w:tab/>
    </w:r>
    <w:r w:rsidRPr="005B7962">
      <w:rPr>
        <w:rFonts w:ascii="Calibri" w:eastAsia="Calibri" w:hAnsi="Calibri" w:cs="Times New Roman"/>
        <w:color w:val="FFFFFF"/>
        <w:szCs w:val="24"/>
        <w:lang w:val="en-US"/>
      </w:rPr>
      <w:fldChar w:fldCharType="begin"/>
    </w:r>
    <w:r w:rsidRPr="005B7962">
      <w:rPr>
        <w:rFonts w:ascii="Calibri" w:eastAsia="Calibri" w:hAnsi="Calibri" w:cs="Times New Roman"/>
        <w:color w:val="FFFFFF"/>
        <w:szCs w:val="24"/>
        <w:lang w:val="en-US"/>
      </w:rPr>
      <w:instrText xml:space="preserve"> PAGE   \* MERGEFORMAT </w:instrText>
    </w:r>
    <w:r w:rsidRPr="005B7962">
      <w:rPr>
        <w:rFonts w:ascii="Calibri" w:eastAsia="Calibri" w:hAnsi="Calibri" w:cs="Times New Roman"/>
        <w:color w:val="FFFFFF"/>
        <w:szCs w:val="24"/>
        <w:lang w:val="en-US"/>
      </w:rPr>
      <w:fldChar w:fldCharType="separate"/>
    </w:r>
    <w:r w:rsidR="002228CF">
      <w:rPr>
        <w:rFonts w:ascii="Calibri" w:eastAsia="Calibri" w:hAnsi="Calibri" w:cs="Times New Roman"/>
        <w:noProof/>
        <w:color w:val="FFFFFF"/>
        <w:szCs w:val="24"/>
        <w:lang w:val="en-US"/>
      </w:rPr>
      <w:t>2</w:t>
    </w:r>
    <w:r w:rsidRPr="005B7962">
      <w:rPr>
        <w:rFonts w:ascii="Calibri" w:eastAsia="Calibri" w:hAnsi="Calibri" w:cs="Times New Roman"/>
        <w:noProof/>
        <w:color w:val="FFFFFF"/>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4AD8A" w14:textId="77777777" w:rsidR="0042219B" w:rsidRDefault="0042219B" w:rsidP="00833B35">
      <w:pPr>
        <w:spacing w:after="0" w:line="240" w:lineRule="auto"/>
      </w:pPr>
      <w:r>
        <w:separator/>
      </w:r>
    </w:p>
  </w:footnote>
  <w:footnote w:type="continuationSeparator" w:id="0">
    <w:p w14:paraId="7D0449D0" w14:textId="77777777" w:rsidR="0042219B" w:rsidRDefault="0042219B" w:rsidP="00833B35">
      <w:pPr>
        <w:spacing w:after="0" w:line="240" w:lineRule="auto"/>
      </w:pPr>
      <w:r>
        <w:continuationSeparator/>
      </w:r>
    </w:p>
  </w:footnote>
  <w:footnote w:id="1">
    <w:p w14:paraId="5E1A6C0B" w14:textId="30405683" w:rsidR="00D51DB8" w:rsidRDefault="00D51DB8">
      <w:pPr>
        <w:pStyle w:val="FootnoteText"/>
      </w:pPr>
      <w:r>
        <w:rPr>
          <w:rStyle w:val="FootnoteReference"/>
        </w:rPr>
        <w:footnoteRef/>
      </w:r>
      <w:r>
        <w:t xml:space="preserve"> Revised June 2024</w:t>
      </w:r>
    </w:p>
  </w:footnote>
  <w:footnote w:id="2">
    <w:p w14:paraId="58B141C1" w14:textId="3A0A0F26" w:rsidR="000F42D6" w:rsidRDefault="000F42D6">
      <w:pPr>
        <w:pStyle w:val="FootnoteText"/>
      </w:pPr>
      <w:r>
        <w:rPr>
          <w:rStyle w:val="FootnoteReference"/>
        </w:rPr>
        <w:footnoteRef/>
      </w:r>
      <w:r>
        <w:t xml:space="preserve"> Information for applicants about disclosing criminal history is available on the NACRO website: </w:t>
      </w:r>
      <w:r w:rsidRPr="000F42D6">
        <w:t>https://www.nacro.org.uk/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C638" w14:textId="77777777" w:rsidR="005B7962" w:rsidRDefault="005B7962">
    <w:pPr>
      <w:pStyle w:val="Header"/>
    </w:pPr>
    <w:r>
      <w:rPr>
        <w:noProof/>
        <w:lang w:eastAsia="en-GB"/>
      </w:rPr>
      <w:drawing>
        <wp:anchor distT="0" distB="0" distL="114300" distR="114300" simplePos="0" relativeHeight="251659264" behindDoc="1" locked="0" layoutInCell="1" allowOverlap="1" wp14:anchorId="054C65FF" wp14:editId="5EF19DF5">
          <wp:simplePos x="0" y="0"/>
          <wp:positionH relativeFrom="column">
            <wp:posOffset>-928015</wp:posOffset>
          </wp:positionH>
          <wp:positionV relativeFrom="paragraph">
            <wp:posOffset>-480060</wp:posOffset>
          </wp:positionV>
          <wp:extent cx="7605890" cy="103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0411"/>
                  <a:stretch/>
                </pic:blipFill>
                <pic:spPr bwMode="auto">
                  <a:xfrm>
                    <a:off x="0" y="0"/>
                    <a:ext cx="7605890" cy="1031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6CD"/>
    <w:multiLevelType w:val="hybridMultilevel"/>
    <w:tmpl w:val="C37C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64B2"/>
    <w:multiLevelType w:val="hybridMultilevel"/>
    <w:tmpl w:val="9A2AA426"/>
    <w:lvl w:ilvl="0" w:tplc="2FFE8F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75800"/>
    <w:multiLevelType w:val="hybridMultilevel"/>
    <w:tmpl w:val="69324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B0F98"/>
    <w:multiLevelType w:val="hybridMultilevel"/>
    <w:tmpl w:val="73782942"/>
    <w:lvl w:ilvl="0" w:tplc="6F86ED90">
      <w:start w:val="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C6560"/>
    <w:multiLevelType w:val="multilevel"/>
    <w:tmpl w:val="DF46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6711C8"/>
    <w:multiLevelType w:val="hybridMultilevel"/>
    <w:tmpl w:val="72849B36"/>
    <w:lvl w:ilvl="0" w:tplc="68168220">
      <w:start w:val="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4292F"/>
    <w:multiLevelType w:val="hybridMultilevel"/>
    <w:tmpl w:val="06487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38509676">
    <w:abstractNumId w:val="5"/>
  </w:num>
  <w:num w:numId="2" w16cid:durableId="1534804873">
    <w:abstractNumId w:val="3"/>
  </w:num>
  <w:num w:numId="3" w16cid:durableId="1284120114">
    <w:abstractNumId w:val="1"/>
  </w:num>
  <w:num w:numId="4" w16cid:durableId="1722048400">
    <w:abstractNumId w:val="2"/>
  </w:num>
  <w:num w:numId="5" w16cid:durableId="747195636">
    <w:abstractNumId w:val="4"/>
  </w:num>
  <w:num w:numId="6" w16cid:durableId="1574051109">
    <w:abstractNumId w:val="6"/>
  </w:num>
  <w:num w:numId="7" w16cid:durableId="61888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383"/>
    <w:rsid w:val="000207B8"/>
    <w:rsid w:val="00070982"/>
    <w:rsid w:val="00093CB5"/>
    <w:rsid w:val="000C2AFF"/>
    <w:rsid w:val="000D5415"/>
    <w:rsid w:val="000F42D6"/>
    <w:rsid w:val="00171C0C"/>
    <w:rsid w:val="001E745D"/>
    <w:rsid w:val="00211D46"/>
    <w:rsid w:val="002228CF"/>
    <w:rsid w:val="00253229"/>
    <w:rsid w:val="002545FF"/>
    <w:rsid w:val="00260364"/>
    <w:rsid w:val="00292F1E"/>
    <w:rsid w:val="002F7142"/>
    <w:rsid w:val="003005DE"/>
    <w:rsid w:val="00335E67"/>
    <w:rsid w:val="00335E6E"/>
    <w:rsid w:val="00356DE4"/>
    <w:rsid w:val="00387401"/>
    <w:rsid w:val="003D641A"/>
    <w:rsid w:val="003F21DF"/>
    <w:rsid w:val="0042219B"/>
    <w:rsid w:val="004B2EBE"/>
    <w:rsid w:val="004B7D37"/>
    <w:rsid w:val="004D0F31"/>
    <w:rsid w:val="004D2164"/>
    <w:rsid w:val="004F13AB"/>
    <w:rsid w:val="005520B0"/>
    <w:rsid w:val="00553166"/>
    <w:rsid w:val="0057714F"/>
    <w:rsid w:val="00581E71"/>
    <w:rsid w:val="00596D02"/>
    <w:rsid w:val="005B7962"/>
    <w:rsid w:val="0062670C"/>
    <w:rsid w:val="00641B1B"/>
    <w:rsid w:val="00643156"/>
    <w:rsid w:val="006447AF"/>
    <w:rsid w:val="006473E7"/>
    <w:rsid w:val="006C2D93"/>
    <w:rsid w:val="00715210"/>
    <w:rsid w:val="007B6310"/>
    <w:rsid w:val="007F533A"/>
    <w:rsid w:val="00833B35"/>
    <w:rsid w:val="00834B19"/>
    <w:rsid w:val="00857B6A"/>
    <w:rsid w:val="008E7FCF"/>
    <w:rsid w:val="009152C8"/>
    <w:rsid w:val="0095431C"/>
    <w:rsid w:val="00987872"/>
    <w:rsid w:val="0099437F"/>
    <w:rsid w:val="0099772F"/>
    <w:rsid w:val="009E1ED3"/>
    <w:rsid w:val="009F4AA0"/>
    <w:rsid w:val="00A32F9F"/>
    <w:rsid w:val="00A81098"/>
    <w:rsid w:val="00AA3693"/>
    <w:rsid w:val="00B5155D"/>
    <w:rsid w:val="00B80E81"/>
    <w:rsid w:val="00BD26C4"/>
    <w:rsid w:val="00BF3287"/>
    <w:rsid w:val="00C0282D"/>
    <w:rsid w:val="00C27149"/>
    <w:rsid w:val="00C30820"/>
    <w:rsid w:val="00C35ED0"/>
    <w:rsid w:val="00C559FF"/>
    <w:rsid w:val="00CC0059"/>
    <w:rsid w:val="00CD78A2"/>
    <w:rsid w:val="00CD7C36"/>
    <w:rsid w:val="00CE5B41"/>
    <w:rsid w:val="00D13727"/>
    <w:rsid w:val="00D4443E"/>
    <w:rsid w:val="00D51DB8"/>
    <w:rsid w:val="00D56648"/>
    <w:rsid w:val="00DC3BC0"/>
    <w:rsid w:val="00DE0118"/>
    <w:rsid w:val="00E12A8F"/>
    <w:rsid w:val="00E47383"/>
    <w:rsid w:val="00E632F7"/>
    <w:rsid w:val="00EB25AB"/>
    <w:rsid w:val="00EB42E3"/>
    <w:rsid w:val="00EF671B"/>
    <w:rsid w:val="00F12859"/>
    <w:rsid w:val="00F20938"/>
    <w:rsid w:val="00F32CA1"/>
    <w:rsid w:val="00F83428"/>
    <w:rsid w:val="00FE7027"/>
    <w:rsid w:val="00FF2F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6C2E"/>
  <w15:docId w15:val="{1FCD44F1-DF05-42DC-9203-6F2537BA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35E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Section Header"/>
    <w:basedOn w:val="Normal"/>
    <w:next w:val="Normal"/>
    <w:link w:val="Heading4Char"/>
    <w:uiPriority w:val="9"/>
    <w:unhideWhenUsed/>
    <w:qFormat/>
    <w:rsid w:val="005B7962"/>
    <w:pPr>
      <w:keepNext/>
      <w:keepLines/>
      <w:pBdr>
        <w:top w:val="single" w:sz="4" w:space="2" w:color="238D90"/>
        <w:left w:val="single" w:sz="4" w:space="31" w:color="238D90"/>
        <w:bottom w:val="single" w:sz="4" w:space="2" w:color="238D90"/>
        <w:right w:val="single" w:sz="4" w:space="31" w:color="238D90"/>
      </w:pBdr>
      <w:shd w:val="solid" w:color="238D90" w:fill="238D90"/>
      <w:spacing w:before="40" w:after="120" w:line="240" w:lineRule="auto"/>
      <w:outlineLvl w:val="3"/>
    </w:pPr>
    <w:rPr>
      <w:rFonts w:ascii="Arial Rounded MT Bold" w:eastAsiaTheme="majorEastAsia" w:hAnsi="Arial Rounded MT Bold" w:cstheme="majorBidi"/>
      <w:iCs/>
      <w:color w:val="FFFFFF" w:themeColor="background1"/>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B19"/>
    <w:pPr>
      <w:ind w:left="720"/>
      <w:contextualSpacing/>
    </w:pPr>
  </w:style>
  <w:style w:type="paragraph" w:styleId="BalloonText">
    <w:name w:val="Balloon Text"/>
    <w:basedOn w:val="Normal"/>
    <w:link w:val="BalloonTextChar"/>
    <w:uiPriority w:val="99"/>
    <w:semiHidden/>
    <w:unhideWhenUsed/>
    <w:rsid w:val="00C30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820"/>
    <w:rPr>
      <w:rFonts w:ascii="Segoe UI" w:hAnsi="Segoe UI" w:cs="Segoe UI"/>
      <w:sz w:val="18"/>
      <w:szCs w:val="18"/>
    </w:rPr>
  </w:style>
  <w:style w:type="paragraph" w:styleId="NormalWeb">
    <w:name w:val="Normal (Web)"/>
    <w:basedOn w:val="Normal"/>
    <w:uiPriority w:val="99"/>
    <w:unhideWhenUsed/>
    <w:rsid w:val="00F209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20938"/>
  </w:style>
  <w:style w:type="character" w:styleId="Hyperlink">
    <w:name w:val="Hyperlink"/>
    <w:basedOn w:val="DefaultParagraphFont"/>
    <w:uiPriority w:val="99"/>
    <w:unhideWhenUsed/>
    <w:rsid w:val="00F20938"/>
    <w:rPr>
      <w:color w:val="0000FF"/>
      <w:u w:val="single"/>
    </w:rPr>
  </w:style>
  <w:style w:type="paragraph" w:styleId="Header">
    <w:name w:val="header"/>
    <w:basedOn w:val="Normal"/>
    <w:link w:val="HeaderChar"/>
    <w:uiPriority w:val="99"/>
    <w:unhideWhenUsed/>
    <w:rsid w:val="00833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35"/>
  </w:style>
  <w:style w:type="paragraph" w:styleId="Footer">
    <w:name w:val="footer"/>
    <w:basedOn w:val="Normal"/>
    <w:link w:val="FooterChar"/>
    <w:uiPriority w:val="99"/>
    <w:unhideWhenUsed/>
    <w:rsid w:val="00833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35"/>
  </w:style>
  <w:style w:type="character" w:customStyle="1" w:styleId="Heading4Char">
    <w:name w:val="Heading 4 Char"/>
    <w:aliases w:val="Section Header Char"/>
    <w:basedOn w:val="DefaultParagraphFont"/>
    <w:link w:val="Heading4"/>
    <w:uiPriority w:val="9"/>
    <w:rsid w:val="005B7962"/>
    <w:rPr>
      <w:rFonts w:ascii="Arial Rounded MT Bold" w:eastAsiaTheme="majorEastAsia" w:hAnsi="Arial Rounded MT Bold" w:cstheme="majorBidi"/>
      <w:iCs/>
      <w:color w:val="FFFFFF" w:themeColor="background1"/>
      <w:sz w:val="40"/>
      <w:szCs w:val="24"/>
      <w:shd w:val="solid" w:color="238D90" w:fill="238D90"/>
    </w:rPr>
  </w:style>
  <w:style w:type="character" w:customStyle="1" w:styleId="Heading3Char">
    <w:name w:val="Heading 3 Char"/>
    <w:basedOn w:val="DefaultParagraphFont"/>
    <w:link w:val="Heading3"/>
    <w:uiPriority w:val="9"/>
    <w:semiHidden/>
    <w:rsid w:val="00C35ED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B2EBE"/>
    <w:rPr>
      <w:color w:val="605E5C"/>
      <w:shd w:val="clear" w:color="auto" w:fill="E1DFDD"/>
    </w:rPr>
  </w:style>
  <w:style w:type="paragraph" w:styleId="Title">
    <w:name w:val="Title"/>
    <w:basedOn w:val="Normal"/>
    <w:next w:val="Normal"/>
    <w:link w:val="TitleChar"/>
    <w:uiPriority w:val="10"/>
    <w:qFormat/>
    <w:rsid w:val="000F42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D6"/>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F42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2D6"/>
    <w:rPr>
      <w:sz w:val="20"/>
      <w:szCs w:val="20"/>
    </w:rPr>
  </w:style>
  <w:style w:type="character" w:styleId="FootnoteReference">
    <w:name w:val="footnote reference"/>
    <w:basedOn w:val="DefaultParagraphFont"/>
    <w:uiPriority w:val="99"/>
    <w:semiHidden/>
    <w:unhideWhenUsed/>
    <w:rsid w:val="000F4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9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afeguarding/safeguarding-e-manual/safer-recruitment-and-people-management-guidance/section-8-pr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1BDA-7C59-47AC-8F7C-6CCFAF29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Allen</dc:creator>
  <cp:lastModifiedBy>Claire Wesley</cp:lastModifiedBy>
  <cp:revision>3</cp:revision>
  <cp:lastPrinted>2016-10-04T13:49:00Z</cp:lastPrinted>
  <dcterms:created xsi:type="dcterms:W3CDTF">2024-05-31T13:35:00Z</dcterms:created>
  <dcterms:modified xsi:type="dcterms:W3CDTF">2024-07-02T17:16:00Z</dcterms:modified>
</cp:coreProperties>
</file>